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6B3" w:rsidRPr="008713FA" w:rsidRDefault="00B70E5B" w:rsidP="008713FA">
      <w:pPr>
        <w:jc w:val="center"/>
        <w:rPr>
          <w:b/>
        </w:rPr>
      </w:pPr>
      <w:r w:rsidRPr="008713FA">
        <w:rPr>
          <w:b/>
        </w:rPr>
        <w:t>Different Styles of Training</w:t>
      </w:r>
      <w:r w:rsidR="008713FA" w:rsidRPr="008713FA">
        <w:rPr>
          <w:b/>
        </w:rPr>
        <w:t xml:space="preserve"> for Core Professionalism</w:t>
      </w:r>
    </w:p>
    <w:p w:rsidR="00F71EB7" w:rsidRPr="008713FA" w:rsidRDefault="008713FA">
      <w:pPr>
        <w:rPr>
          <w:b/>
          <w:u w:val="single"/>
        </w:rPr>
      </w:pPr>
      <w:r w:rsidRPr="008713FA">
        <w:rPr>
          <w:b/>
          <w:u w:val="single"/>
        </w:rPr>
        <w:t xml:space="preserve">Step 1: </w:t>
      </w:r>
      <w:r w:rsidR="00B70E5B" w:rsidRPr="008713FA">
        <w:rPr>
          <w:b/>
          <w:u w:val="single"/>
        </w:rPr>
        <w:t>Overview Slides for Domain 4</w:t>
      </w:r>
    </w:p>
    <w:p w:rsidR="00F71EB7" w:rsidRDefault="00726973" w:rsidP="00726973">
      <w:r>
        <w:t>Highlight the fact that the focus is on quality, not quantity. Review k</w:t>
      </w:r>
      <w:r w:rsidR="00F71EB7">
        <w:t>ey requirements from manual</w:t>
      </w:r>
      <w:r>
        <w:t>.</w:t>
      </w:r>
    </w:p>
    <w:p w:rsidR="008713FA" w:rsidRPr="008713FA" w:rsidRDefault="008713FA" w:rsidP="008713FA">
      <w:pPr>
        <w:rPr>
          <w:b/>
          <w:u w:val="single"/>
        </w:rPr>
      </w:pPr>
      <w:r w:rsidRPr="008713FA">
        <w:rPr>
          <w:b/>
          <w:u w:val="single"/>
        </w:rPr>
        <w:t>Step 2: Spend time helping participants l</w:t>
      </w:r>
      <w:r w:rsidR="00B70E5B" w:rsidRPr="008713FA">
        <w:rPr>
          <w:b/>
          <w:u w:val="single"/>
        </w:rPr>
        <w:t xml:space="preserve">earn about the </w:t>
      </w:r>
      <w:r w:rsidRPr="008713FA">
        <w:rPr>
          <w:b/>
          <w:u w:val="single"/>
        </w:rPr>
        <w:t xml:space="preserve">Domain rubric and the </w:t>
      </w:r>
      <w:r w:rsidR="00B70E5B" w:rsidRPr="008713FA">
        <w:rPr>
          <w:b/>
          <w:u w:val="single"/>
        </w:rPr>
        <w:t>components</w:t>
      </w:r>
      <w:r w:rsidRPr="008713FA">
        <w:rPr>
          <w:b/>
          <w:u w:val="single"/>
        </w:rPr>
        <w:t xml:space="preserve"> within it.</w:t>
      </w:r>
    </w:p>
    <w:p w:rsidR="008713FA" w:rsidRPr="009D7645" w:rsidRDefault="009D7645" w:rsidP="009D7645">
      <w:pPr>
        <w:rPr>
          <w:i/>
        </w:rPr>
      </w:pPr>
      <w:r>
        <w:rPr>
          <w:i/>
        </w:rPr>
        <w:t>Explore the option that will work best for your staff</w:t>
      </w:r>
      <w:r w:rsidR="008713FA" w:rsidRPr="009D7645">
        <w:rPr>
          <w:i/>
        </w:rPr>
        <w:t>:</w:t>
      </w:r>
    </w:p>
    <w:p w:rsidR="00B70E5B" w:rsidRDefault="008713FA" w:rsidP="008713FA">
      <w:pPr>
        <w:ind w:left="720"/>
      </w:pPr>
      <w:r w:rsidRPr="008713FA">
        <w:rPr>
          <w:b/>
        </w:rPr>
        <w:t>A.)  Creative Presentations-</w:t>
      </w:r>
      <w:r>
        <w:t xml:space="preserve"> </w:t>
      </w:r>
      <w:r w:rsidR="00B70E5B">
        <w:t xml:space="preserve">Assign different groups (departments, grade levels, etc.) to </w:t>
      </w:r>
      <w:r w:rsidR="009D7645">
        <w:t>a single</w:t>
      </w:r>
      <w:r w:rsidR="00B70E5B">
        <w:t xml:space="preserve"> component</w:t>
      </w:r>
      <w:r w:rsidR="009D7645">
        <w:t xml:space="preserve"> within Domain 4</w:t>
      </w:r>
      <w:r w:rsidR="00B70E5B">
        <w:t xml:space="preserve"> to present to </w:t>
      </w:r>
      <w:r>
        <w:t xml:space="preserve">the entire </w:t>
      </w:r>
      <w:r w:rsidR="00B70E5B">
        <w:t>staff</w:t>
      </w:r>
      <w:r>
        <w:t xml:space="preserve"> in a creative way</w:t>
      </w:r>
      <w:r w:rsidR="00B70E5B">
        <w:t xml:space="preserve">.  This could be broken up over different faculties meetings or </w:t>
      </w:r>
      <w:r>
        <w:t>presented all at once</w:t>
      </w:r>
      <w:r w:rsidR="00B70E5B">
        <w:t xml:space="preserve">.  Teachers could review materials such as the rubric, manual, written descriptions in the book, the </w:t>
      </w:r>
      <w:proofErr w:type="spellStart"/>
      <w:r w:rsidR="00B70E5B">
        <w:t>EdImpact</w:t>
      </w:r>
      <w:proofErr w:type="spellEnd"/>
      <w:r w:rsidR="00B70E5B">
        <w:t xml:space="preserve"> videos, </w:t>
      </w:r>
      <w:proofErr w:type="gramStart"/>
      <w:r w:rsidR="00B70E5B">
        <w:t>the</w:t>
      </w:r>
      <w:proofErr w:type="gramEnd"/>
      <w:r w:rsidR="00B70E5B">
        <w:t xml:space="preserve"> samples in the “Implementing the Framework” book and choose how to create the best learning experience for their staff.  </w:t>
      </w:r>
      <w:r>
        <w:t>Efforts with this project could become evidence towards 4d: Participating in the Professional Community.</w:t>
      </w:r>
    </w:p>
    <w:p w:rsidR="009D7645" w:rsidRDefault="009D7645" w:rsidP="009D7645">
      <w:pPr>
        <w:ind w:left="720" w:firstLine="720"/>
      </w:pPr>
      <w:r>
        <w:t>(Modeled at EES EO PLC July 14</w:t>
      </w:r>
      <w:r w:rsidRPr="009D7645">
        <w:rPr>
          <w:vertAlign w:val="superscript"/>
        </w:rPr>
        <w:t>th</w:t>
      </w:r>
      <w:r>
        <w:t>)</w:t>
      </w:r>
    </w:p>
    <w:p w:rsidR="00B70E5B" w:rsidRDefault="008713FA" w:rsidP="008713FA">
      <w:pPr>
        <w:ind w:left="720"/>
      </w:pPr>
      <w:r w:rsidRPr="008713FA">
        <w:rPr>
          <w:b/>
        </w:rPr>
        <w:t xml:space="preserve">B.) Reading </w:t>
      </w:r>
      <w:r w:rsidR="00B70E5B" w:rsidRPr="008713FA">
        <w:rPr>
          <w:b/>
        </w:rPr>
        <w:t xml:space="preserve">Jigsaw </w:t>
      </w:r>
      <w:r w:rsidR="009D7645">
        <w:rPr>
          <w:b/>
        </w:rPr>
        <w:t>–</w:t>
      </w:r>
      <w:r>
        <w:t xml:space="preserve"> </w:t>
      </w:r>
      <w:r w:rsidR="009D7645">
        <w:t xml:space="preserve">Ask teachers to sit in groups of 6, then assign each teacher a section of reading for one component in Charlotte’s book “Enhancing Professional Practice: A Framework for Teaching”.  Have the teachers share with their group the key ideas from the reading and </w:t>
      </w:r>
      <w:r w:rsidR="00B70E5B">
        <w:t>the</w:t>
      </w:r>
      <w:r w:rsidR="009D7645">
        <w:t>n</w:t>
      </w:r>
      <w:r w:rsidR="00B70E5B">
        <w:t xml:space="preserve"> reading and generate potential examples of evidences sources specific to each school.</w:t>
      </w:r>
      <w:r w:rsidR="009D7645">
        <w:t xml:space="preserve"> </w:t>
      </w:r>
    </w:p>
    <w:tbl>
      <w:tblPr>
        <w:tblStyle w:val="TableGrid"/>
        <w:tblW w:w="8928" w:type="dxa"/>
        <w:tblInd w:w="720" w:type="dxa"/>
        <w:tblLook w:val="04A0" w:firstRow="1" w:lastRow="0" w:firstColumn="1" w:lastColumn="0" w:noHBand="0" w:noVBand="1"/>
      </w:tblPr>
      <w:tblGrid>
        <w:gridCol w:w="2988"/>
        <w:gridCol w:w="1800"/>
        <w:gridCol w:w="4140"/>
      </w:tblGrid>
      <w:tr w:rsidR="009D7645" w:rsidTr="009D7645">
        <w:tc>
          <w:tcPr>
            <w:tcW w:w="2988" w:type="dxa"/>
          </w:tcPr>
          <w:p w:rsidR="008713FA" w:rsidRDefault="008713FA" w:rsidP="00D45273"/>
        </w:tc>
        <w:tc>
          <w:tcPr>
            <w:tcW w:w="1800" w:type="dxa"/>
          </w:tcPr>
          <w:p w:rsidR="008713FA" w:rsidRDefault="008713FA" w:rsidP="00D45273">
            <w:r>
              <w:t>Key Ideas</w:t>
            </w:r>
          </w:p>
        </w:tc>
        <w:tc>
          <w:tcPr>
            <w:tcW w:w="4140" w:type="dxa"/>
          </w:tcPr>
          <w:p w:rsidR="008713FA" w:rsidRDefault="008713FA" w:rsidP="00D45273">
            <w:r>
              <w:t>How Teachers Demonstrate This Concept</w:t>
            </w:r>
          </w:p>
        </w:tc>
      </w:tr>
      <w:tr w:rsidR="009D7645" w:rsidTr="009D7645">
        <w:tc>
          <w:tcPr>
            <w:tcW w:w="2988" w:type="dxa"/>
          </w:tcPr>
          <w:p w:rsidR="008713FA" w:rsidRDefault="008713FA" w:rsidP="00D45273">
            <w:r>
              <w:t>4a</w:t>
            </w:r>
            <w:r>
              <w:t xml:space="preserve"> Reflecting on Teaching</w:t>
            </w:r>
          </w:p>
          <w:p w:rsidR="008713FA" w:rsidRDefault="008713FA" w:rsidP="00D45273">
            <w:r>
              <w:t>Pg. 92-93</w:t>
            </w:r>
          </w:p>
        </w:tc>
        <w:tc>
          <w:tcPr>
            <w:tcW w:w="1800" w:type="dxa"/>
          </w:tcPr>
          <w:p w:rsidR="008713FA" w:rsidRDefault="008713FA" w:rsidP="00D45273"/>
        </w:tc>
        <w:tc>
          <w:tcPr>
            <w:tcW w:w="4140" w:type="dxa"/>
          </w:tcPr>
          <w:p w:rsidR="008713FA" w:rsidRDefault="008713FA" w:rsidP="00D45273"/>
        </w:tc>
      </w:tr>
      <w:tr w:rsidR="009D7645" w:rsidTr="009D7645">
        <w:tc>
          <w:tcPr>
            <w:tcW w:w="2988" w:type="dxa"/>
          </w:tcPr>
          <w:p w:rsidR="008713FA" w:rsidRDefault="008713FA" w:rsidP="00D45273">
            <w:r>
              <w:t>4b</w:t>
            </w:r>
            <w:r>
              <w:t xml:space="preserve"> Maintaining Accurate Records Pg. 94-96</w:t>
            </w:r>
          </w:p>
        </w:tc>
        <w:tc>
          <w:tcPr>
            <w:tcW w:w="1800" w:type="dxa"/>
          </w:tcPr>
          <w:p w:rsidR="008713FA" w:rsidRDefault="008713FA" w:rsidP="00D45273"/>
        </w:tc>
        <w:tc>
          <w:tcPr>
            <w:tcW w:w="4140" w:type="dxa"/>
          </w:tcPr>
          <w:p w:rsidR="008713FA" w:rsidRDefault="008713FA" w:rsidP="00D45273"/>
        </w:tc>
      </w:tr>
      <w:tr w:rsidR="009D7645" w:rsidTr="009D7645">
        <w:tc>
          <w:tcPr>
            <w:tcW w:w="2988" w:type="dxa"/>
          </w:tcPr>
          <w:p w:rsidR="008713FA" w:rsidRDefault="008713FA" w:rsidP="00D45273">
            <w:r>
              <w:t>4c</w:t>
            </w:r>
            <w:r>
              <w:t xml:space="preserve"> Communicating with Families Pg. 96-99</w:t>
            </w:r>
          </w:p>
        </w:tc>
        <w:tc>
          <w:tcPr>
            <w:tcW w:w="1800" w:type="dxa"/>
          </w:tcPr>
          <w:p w:rsidR="008713FA" w:rsidRDefault="008713FA" w:rsidP="00D45273"/>
        </w:tc>
        <w:tc>
          <w:tcPr>
            <w:tcW w:w="4140" w:type="dxa"/>
          </w:tcPr>
          <w:p w:rsidR="008713FA" w:rsidRDefault="008713FA" w:rsidP="00D45273"/>
        </w:tc>
      </w:tr>
      <w:tr w:rsidR="009D7645" w:rsidTr="009D7645">
        <w:tc>
          <w:tcPr>
            <w:tcW w:w="2988" w:type="dxa"/>
          </w:tcPr>
          <w:p w:rsidR="008713FA" w:rsidRDefault="008713FA" w:rsidP="00D45273">
            <w:r>
              <w:t>4d</w:t>
            </w:r>
            <w:r>
              <w:t xml:space="preserve"> Participating in Professional Community Pg. 99-102</w:t>
            </w:r>
          </w:p>
        </w:tc>
        <w:tc>
          <w:tcPr>
            <w:tcW w:w="1800" w:type="dxa"/>
          </w:tcPr>
          <w:p w:rsidR="008713FA" w:rsidRDefault="008713FA" w:rsidP="00D45273"/>
        </w:tc>
        <w:tc>
          <w:tcPr>
            <w:tcW w:w="4140" w:type="dxa"/>
          </w:tcPr>
          <w:p w:rsidR="008713FA" w:rsidRDefault="008713FA" w:rsidP="00D45273"/>
        </w:tc>
      </w:tr>
      <w:tr w:rsidR="009D7645" w:rsidTr="009D7645">
        <w:tc>
          <w:tcPr>
            <w:tcW w:w="2988" w:type="dxa"/>
          </w:tcPr>
          <w:p w:rsidR="008713FA" w:rsidRDefault="008713FA" w:rsidP="00D45273">
            <w:r>
              <w:t>4e</w:t>
            </w:r>
            <w:r>
              <w:t xml:space="preserve"> Growing and Developing Professionally Pg. 102-105</w:t>
            </w:r>
          </w:p>
        </w:tc>
        <w:tc>
          <w:tcPr>
            <w:tcW w:w="1800" w:type="dxa"/>
          </w:tcPr>
          <w:p w:rsidR="008713FA" w:rsidRDefault="008713FA" w:rsidP="00D45273"/>
        </w:tc>
        <w:tc>
          <w:tcPr>
            <w:tcW w:w="4140" w:type="dxa"/>
          </w:tcPr>
          <w:p w:rsidR="008713FA" w:rsidRDefault="008713FA" w:rsidP="00D45273"/>
        </w:tc>
      </w:tr>
      <w:tr w:rsidR="009D7645" w:rsidTr="009D7645">
        <w:tc>
          <w:tcPr>
            <w:tcW w:w="2988" w:type="dxa"/>
          </w:tcPr>
          <w:p w:rsidR="008713FA" w:rsidRDefault="008713FA" w:rsidP="00D45273">
            <w:r>
              <w:t>4f</w:t>
            </w:r>
            <w:r>
              <w:t xml:space="preserve"> Showing Professionalism Pg. 106-107</w:t>
            </w:r>
          </w:p>
        </w:tc>
        <w:tc>
          <w:tcPr>
            <w:tcW w:w="1800" w:type="dxa"/>
          </w:tcPr>
          <w:p w:rsidR="008713FA" w:rsidRDefault="008713FA" w:rsidP="00D45273"/>
        </w:tc>
        <w:tc>
          <w:tcPr>
            <w:tcW w:w="4140" w:type="dxa"/>
          </w:tcPr>
          <w:p w:rsidR="008713FA" w:rsidRDefault="008713FA" w:rsidP="00D45273"/>
        </w:tc>
      </w:tr>
    </w:tbl>
    <w:p w:rsidR="008713FA" w:rsidRDefault="008713FA" w:rsidP="009D7645"/>
    <w:p w:rsidR="009D7645" w:rsidRDefault="009D7645" w:rsidP="00726973">
      <w:pPr>
        <w:ind w:left="720" w:firstLine="720"/>
      </w:pPr>
      <w:r>
        <w:t xml:space="preserve">(Modeled at </w:t>
      </w:r>
      <w:r>
        <w:t>Introduction to the Framework Training</w:t>
      </w:r>
      <w:r>
        <w:t>)</w:t>
      </w:r>
    </w:p>
    <w:p w:rsidR="00B70E5B" w:rsidRDefault="008713FA" w:rsidP="008713FA">
      <w:pPr>
        <w:ind w:left="720"/>
      </w:pPr>
      <w:r w:rsidRPr="008713FA">
        <w:rPr>
          <w:b/>
        </w:rPr>
        <w:t>C.) Build-A-Chart</w:t>
      </w:r>
      <w:r>
        <w:t xml:space="preserve"> </w:t>
      </w:r>
      <w:r w:rsidR="009D7645">
        <w:t>–</w:t>
      </w:r>
      <w:r>
        <w:t xml:space="preserve"> </w:t>
      </w:r>
      <w:r w:rsidR="009D7645">
        <w:t>Sort the descriptors, indicators and samples of evidence for each component.</w:t>
      </w:r>
    </w:p>
    <w:tbl>
      <w:tblPr>
        <w:tblStyle w:val="TableGrid"/>
        <w:tblW w:w="8928" w:type="dxa"/>
        <w:tblInd w:w="720" w:type="dxa"/>
        <w:tblLook w:val="04A0" w:firstRow="1" w:lastRow="0" w:firstColumn="1" w:lastColumn="0" w:noHBand="0" w:noVBand="1"/>
      </w:tblPr>
      <w:tblGrid>
        <w:gridCol w:w="558"/>
        <w:gridCol w:w="2520"/>
        <w:gridCol w:w="2610"/>
        <w:gridCol w:w="3240"/>
      </w:tblGrid>
      <w:tr w:rsidR="008713FA" w:rsidTr="008713FA">
        <w:tc>
          <w:tcPr>
            <w:tcW w:w="558" w:type="dxa"/>
          </w:tcPr>
          <w:p w:rsidR="008713FA" w:rsidRDefault="008713FA" w:rsidP="008713FA"/>
        </w:tc>
        <w:tc>
          <w:tcPr>
            <w:tcW w:w="2520" w:type="dxa"/>
          </w:tcPr>
          <w:p w:rsidR="008713FA" w:rsidRDefault="008713FA" w:rsidP="008713FA">
            <w:r>
              <w:t>Descriptor</w:t>
            </w:r>
          </w:p>
        </w:tc>
        <w:tc>
          <w:tcPr>
            <w:tcW w:w="2610" w:type="dxa"/>
          </w:tcPr>
          <w:p w:rsidR="008713FA" w:rsidRDefault="008713FA" w:rsidP="008713FA">
            <w:r>
              <w:t>Indicators</w:t>
            </w:r>
          </w:p>
        </w:tc>
        <w:tc>
          <w:tcPr>
            <w:tcW w:w="3240" w:type="dxa"/>
          </w:tcPr>
          <w:p w:rsidR="008713FA" w:rsidRDefault="008713FA" w:rsidP="008713FA">
            <w:r>
              <w:t>Sample Piece of Evidence</w:t>
            </w:r>
          </w:p>
        </w:tc>
      </w:tr>
      <w:tr w:rsidR="008713FA" w:rsidTr="008713FA">
        <w:tc>
          <w:tcPr>
            <w:tcW w:w="558" w:type="dxa"/>
          </w:tcPr>
          <w:p w:rsidR="008713FA" w:rsidRDefault="008713FA" w:rsidP="008713FA">
            <w:r>
              <w:t>4a</w:t>
            </w:r>
          </w:p>
        </w:tc>
        <w:tc>
          <w:tcPr>
            <w:tcW w:w="2520" w:type="dxa"/>
          </w:tcPr>
          <w:p w:rsidR="008713FA" w:rsidRDefault="008713FA" w:rsidP="008713FA"/>
        </w:tc>
        <w:tc>
          <w:tcPr>
            <w:tcW w:w="2610" w:type="dxa"/>
          </w:tcPr>
          <w:p w:rsidR="008713FA" w:rsidRDefault="008713FA" w:rsidP="008713FA"/>
        </w:tc>
        <w:tc>
          <w:tcPr>
            <w:tcW w:w="3240" w:type="dxa"/>
          </w:tcPr>
          <w:p w:rsidR="008713FA" w:rsidRDefault="008713FA" w:rsidP="008713FA"/>
        </w:tc>
      </w:tr>
      <w:tr w:rsidR="008713FA" w:rsidTr="008713FA">
        <w:tc>
          <w:tcPr>
            <w:tcW w:w="558" w:type="dxa"/>
          </w:tcPr>
          <w:p w:rsidR="008713FA" w:rsidRDefault="008713FA" w:rsidP="008713FA">
            <w:r>
              <w:lastRenderedPageBreak/>
              <w:t>4b</w:t>
            </w:r>
          </w:p>
        </w:tc>
        <w:tc>
          <w:tcPr>
            <w:tcW w:w="2520" w:type="dxa"/>
          </w:tcPr>
          <w:p w:rsidR="008713FA" w:rsidRDefault="008713FA" w:rsidP="008713FA"/>
        </w:tc>
        <w:tc>
          <w:tcPr>
            <w:tcW w:w="2610" w:type="dxa"/>
          </w:tcPr>
          <w:p w:rsidR="008713FA" w:rsidRDefault="008713FA" w:rsidP="008713FA"/>
        </w:tc>
        <w:tc>
          <w:tcPr>
            <w:tcW w:w="3240" w:type="dxa"/>
          </w:tcPr>
          <w:p w:rsidR="008713FA" w:rsidRDefault="008713FA" w:rsidP="008713FA"/>
        </w:tc>
      </w:tr>
      <w:tr w:rsidR="008713FA" w:rsidTr="008713FA">
        <w:tc>
          <w:tcPr>
            <w:tcW w:w="558" w:type="dxa"/>
          </w:tcPr>
          <w:p w:rsidR="008713FA" w:rsidRDefault="008713FA" w:rsidP="008713FA">
            <w:r>
              <w:t>4c</w:t>
            </w:r>
          </w:p>
        </w:tc>
        <w:tc>
          <w:tcPr>
            <w:tcW w:w="2520" w:type="dxa"/>
          </w:tcPr>
          <w:p w:rsidR="008713FA" w:rsidRDefault="008713FA" w:rsidP="008713FA"/>
        </w:tc>
        <w:tc>
          <w:tcPr>
            <w:tcW w:w="2610" w:type="dxa"/>
          </w:tcPr>
          <w:p w:rsidR="008713FA" w:rsidRDefault="008713FA" w:rsidP="008713FA"/>
        </w:tc>
        <w:tc>
          <w:tcPr>
            <w:tcW w:w="3240" w:type="dxa"/>
          </w:tcPr>
          <w:p w:rsidR="008713FA" w:rsidRDefault="008713FA" w:rsidP="008713FA"/>
        </w:tc>
      </w:tr>
      <w:tr w:rsidR="008713FA" w:rsidTr="008713FA">
        <w:tc>
          <w:tcPr>
            <w:tcW w:w="558" w:type="dxa"/>
          </w:tcPr>
          <w:p w:rsidR="008713FA" w:rsidRDefault="008713FA" w:rsidP="008713FA">
            <w:r>
              <w:t>4d</w:t>
            </w:r>
          </w:p>
        </w:tc>
        <w:tc>
          <w:tcPr>
            <w:tcW w:w="2520" w:type="dxa"/>
          </w:tcPr>
          <w:p w:rsidR="008713FA" w:rsidRDefault="008713FA" w:rsidP="008713FA"/>
        </w:tc>
        <w:tc>
          <w:tcPr>
            <w:tcW w:w="2610" w:type="dxa"/>
          </w:tcPr>
          <w:p w:rsidR="008713FA" w:rsidRDefault="008713FA" w:rsidP="008713FA"/>
        </w:tc>
        <w:tc>
          <w:tcPr>
            <w:tcW w:w="3240" w:type="dxa"/>
          </w:tcPr>
          <w:p w:rsidR="008713FA" w:rsidRDefault="008713FA" w:rsidP="008713FA"/>
        </w:tc>
      </w:tr>
      <w:tr w:rsidR="008713FA" w:rsidTr="008713FA">
        <w:tc>
          <w:tcPr>
            <w:tcW w:w="558" w:type="dxa"/>
          </w:tcPr>
          <w:p w:rsidR="008713FA" w:rsidRDefault="008713FA" w:rsidP="008713FA">
            <w:r>
              <w:t>4e</w:t>
            </w:r>
          </w:p>
        </w:tc>
        <w:tc>
          <w:tcPr>
            <w:tcW w:w="2520" w:type="dxa"/>
          </w:tcPr>
          <w:p w:rsidR="008713FA" w:rsidRDefault="008713FA" w:rsidP="008713FA"/>
        </w:tc>
        <w:tc>
          <w:tcPr>
            <w:tcW w:w="2610" w:type="dxa"/>
          </w:tcPr>
          <w:p w:rsidR="008713FA" w:rsidRDefault="008713FA" w:rsidP="008713FA"/>
        </w:tc>
        <w:tc>
          <w:tcPr>
            <w:tcW w:w="3240" w:type="dxa"/>
          </w:tcPr>
          <w:p w:rsidR="008713FA" w:rsidRDefault="008713FA" w:rsidP="008713FA"/>
        </w:tc>
      </w:tr>
      <w:tr w:rsidR="008713FA" w:rsidTr="008713FA">
        <w:tc>
          <w:tcPr>
            <w:tcW w:w="558" w:type="dxa"/>
          </w:tcPr>
          <w:p w:rsidR="008713FA" w:rsidRDefault="008713FA" w:rsidP="008713FA">
            <w:r>
              <w:t>4f</w:t>
            </w:r>
          </w:p>
        </w:tc>
        <w:tc>
          <w:tcPr>
            <w:tcW w:w="2520" w:type="dxa"/>
          </w:tcPr>
          <w:p w:rsidR="008713FA" w:rsidRDefault="008713FA" w:rsidP="008713FA"/>
        </w:tc>
        <w:tc>
          <w:tcPr>
            <w:tcW w:w="2610" w:type="dxa"/>
          </w:tcPr>
          <w:p w:rsidR="008713FA" w:rsidRDefault="008713FA" w:rsidP="008713FA"/>
        </w:tc>
        <w:tc>
          <w:tcPr>
            <w:tcW w:w="3240" w:type="dxa"/>
          </w:tcPr>
          <w:p w:rsidR="008713FA" w:rsidRDefault="008713FA" w:rsidP="008713FA"/>
        </w:tc>
      </w:tr>
    </w:tbl>
    <w:p w:rsidR="00726973" w:rsidRDefault="00726973" w:rsidP="00726973">
      <w:pPr>
        <w:ind w:left="720" w:firstLine="720"/>
      </w:pPr>
      <w:r>
        <w:t>(Modeled at EES EO PLC July 14</w:t>
      </w:r>
      <w:r w:rsidRPr="009D7645">
        <w:rPr>
          <w:vertAlign w:val="superscript"/>
        </w:rPr>
        <w:t>th</w:t>
      </w:r>
      <w:r>
        <w:t>)</w:t>
      </w:r>
    </w:p>
    <w:p w:rsidR="00726973" w:rsidRDefault="00726973" w:rsidP="009D7645">
      <w:pPr>
        <w:ind w:left="720" w:firstLine="720"/>
      </w:pPr>
      <w:r w:rsidRPr="00726973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-3175</wp:posOffset>
            </wp:positionV>
            <wp:extent cx="5943600" cy="3703955"/>
            <wp:effectExtent l="0" t="0" r="0" b="0"/>
            <wp:wrapTight wrapText="bothSides">
              <wp:wrapPolygon edited="0">
                <wp:start x="0" y="0"/>
                <wp:lineTo x="0" y="21441"/>
                <wp:lineTo x="21531" y="21441"/>
                <wp:lineTo x="2153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03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2D8D" w:rsidRDefault="008713FA" w:rsidP="00B12D8D">
      <w:pPr>
        <w:ind w:left="720"/>
      </w:pPr>
      <w:r w:rsidRPr="009D7645">
        <w:rPr>
          <w:b/>
        </w:rPr>
        <w:t xml:space="preserve">D.) </w:t>
      </w:r>
      <w:r w:rsidR="00B70E5B" w:rsidRPr="009D7645">
        <w:rPr>
          <w:b/>
        </w:rPr>
        <w:t xml:space="preserve"> </w:t>
      </w:r>
      <w:r w:rsidR="009D7645" w:rsidRPr="009D7645">
        <w:rPr>
          <w:b/>
        </w:rPr>
        <w:t xml:space="preserve">Reflect </w:t>
      </w:r>
      <w:proofErr w:type="gramStart"/>
      <w:r w:rsidR="009D7645" w:rsidRPr="009D7645">
        <w:rPr>
          <w:b/>
        </w:rPr>
        <w:t>Throughout</w:t>
      </w:r>
      <w:proofErr w:type="gramEnd"/>
      <w:r w:rsidR="009D7645" w:rsidRPr="009D7645">
        <w:rPr>
          <w:b/>
        </w:rPr>
        <w:t xml:space="preserve"> the Year</w:t>
      </w:r>
      <w:r w:rsidR="009D7645">
        <w:t xml:space="preserve"> - </w:t>
      </w:r>
      <w:r w:rsidR="00B70E5B">
        <w:t>Feature one component at different faculty meetings throughout the year with reflective questions at each.</w:t>
      </w:r>
      <w:r w:rsidR="00F71EB7">
        <w:t xml:space="preserve"> </w:t>
      </w:r>
      <w:r w:rsidR="00B12D8D">
        <w:t xml:space="preserve"> Use reflective questions from the “Implementing the Framework for Teaching in Enhancing Professional Practice” book (example pages 389, 392, 397, 400, 403, etc.).</w:t>
      </w:r>
    </w:p>
    <w:p w:rsidR="00B70E5B" w:rsidRDefault="008713FA" w:rsidP="00B70E5B">
      <w:pPr>
        <w:rPr>
          <w:b/>
          <w:u w:val="single"/>
        </w:rPr>
      </w:pPr>
      <w:r w:rsidRPr="008713FA">
        <w:rPr>
          <w:b/>
          <w:u w:val="single"/>
        </w:rPr>
        <w:t>Step #3</w:t>
      </w:r>
      <w:r w:rsidR="00B70E5B" w:rsidRPr="008713FA">
        <w:rPr>
          <w:b/>
          <w:u w:val="single"/>
        </w:rPr>
        <w:t xml:space="preserve">. </w:t>
      </w:r>
      <w:r w:rsidRPr="008713FA">
        <w:rPr>
          <w:b/>
          <w:u w:val="single"/>
        </w:rPr>
        <w:t>Ask teachers to complete a self-assessment.</w:t>
      </w:r>
    </w:p>
    <w:p w:rsidR="009D7645" w:rsidRPr="008713FA" w:rsidRDefault="009D7645" w:rsidP="00B70E5B">
      <w:pPr>
        <w:rPr>
          <w:b/>
          <w:u w:val="single"/>
        </w:rPr>
      </w:pPr>
      <w:r>
        <w:t>(Penny from helpdesk is working on consolidating from thick book at element level)</w:t>
      </w:r>
    </w:p>
    <w:p w:rsidR="00B70E5B" w:rsidRPr="008713FA" w:rsidRDefault="008713FA">
      <w:pPr>
        <w:rPr>
          <w:b/>
          <w:u w:val="single"/>
        </w:rPr>
      </w:pPr>
      <w:r w:rsidRPr="008713FA">
        <w:rPr>
          <w:b/>
          <w:u w:val="single"/>
        </w:rPr>
        <w:t>Step #4</w:t>
      </w:r>
      <w:r w:rsidR="00B70E5B" w:rsidRPr="008713FA">
        <w:rPr>
          <w:b/>
          <w:u w:val="single"/>
        </w:rPr>
        <w:t xml:space="preserve">. </w:t>
      </w:r>
      <w:r w:rsidR="00F71EB7" w:rsidRPr="008713FA">
        <w:rPr>
          <w:b/>
          <w:u w:val="single"/>
        </w:rPr>
        <w:t>Plan</w:t>
      </w:r>
    </w:p>
    <w:p w:rsidR="00726973" w:rsidRDefault="00B12D8D" w:rsidP="00726973">
      <w:r>
        <w:t xml:space="preserve">After the teacher understands what Domain 4 entails and has completed a self-assessment it is crucial to have a conversation </w:t>
      </w:r>
      <w:r>
        <w:t xml:space="preserve">with </w:t>
      </w:r>
      <w:r>
        <w:t xml:space="preserve">the </w:t>
      </w:r>
      <w:r>
        <w:t xml:space="preserve">administrator </w:t>
      </w:r>
      <w:r>
        <w:t xml:space="preserve">about the focus of growth and evidence collection for Domain 4.  This does not have to be a separate conversation, but rather in can be woven in to other meeting times.  As Charlotte Danielson said in her book </w:t>
      </w:r>
      <w:r w:rsidRPr="00B12D8D">
        <w:rPr>
          <w:i/>
        </w:rPr>
        <w:t xml:space="preserve">Talk </w:t>
      </w:r>
      <w:proofErr w:type="gramStart"/>
      <w:r w:rsidRPr="00B12D8D">
        <w:rPr>
          <w:i/>
        </w:rPr>
        <w:t>About</w:t>
      </w:r>
      <w:proofErr w:type="gramEnd"/>
      <w:r w:rsidRPr="00B12D8D">
        <w:rPr>
          <w:i/>
        </w:rPr>
        <w:t xml:space="preserve"> Teaching: Leading Professional Conversations</w:t>
      </w:r>
      <w:r>
        <w:t xml:space="preserve">, “Of all the approaches available to educators to promotes teacher learning, the most </w:t>
      </w:r>
      <w:r>
        <w:lastRenderedPageBreak/>
        <w:t xml:space="preserve">powerful is that of professional conversations” (pg. 5). </w:t>
      </w:r>
      <w:r w:rsidR="00726973">
        <w:t xml:space="preserve"> Once expectations for Domain 4 have been established, an area of focus could be </w:t>
      </w:r>
      <w:r w:rsidR="00B70E5B">
        <w:t xml:space="preserve">incorporated into </w:t>
      </w:r>
      <w:r w:rsidR="00726973">
        <w:t xml:space="preserve">a teacher’s </w:t>
      </w:r>
      <w:r w:rsidR="00B70E5B">
        <w:t xml:space="preserve">Professional </w:t>
      </w:r>
      <w:r w:rsidR="00726973">
        <w:t>Development</w:t>
      </w:r>
      <w:r w:rsidR="00B70E5B">
        <w:t xml:space="preserve"> Plan</w:t>
      </w:r>
      <w:r w:rsidR="0058699F">
        <w:t xml:space="preserve"> (format optional</w:t>
      </w:r>
      <w:r w:rsidR="00726973">
        <w:t>, unless the teacher is on a Principal Directed Professional Development Plan</w:t>
      </w:r>
      <w:r w:rsidR="0058699F">
        <w:t xml:space="preserve">).  </w:t>
      </w:r>
      <w:r w:rsidR="00726973">
        <w:t>Resources for the growth plan include the template available under the Professional Growth tab on PDe3 and pages 58-65 in Charlotte Danielson’s book “The Handbook for Enhancing Professional Practice”.</w:t>
      </w:r>
      <w:bookmarkStart w:id="0" w:name="_GoBack"/>
      <w:bookmarkEnd w:id="0"/>
    </w:p>
    <w:sectPr w:rsidR="007269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3586B"/>
    <w:multiLevelType w:val="hybridMultilevel"/>
    <w:tmpl w:val="4972F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E5B"/>
    <w:rsid w:val="0058699F"/>
    <w:rsid w:val="006716B3"/>
    <w:rsid w:val="00726973"/>
    <w:rsid w:val="008713FA"/>
    <w:rsid w:val="009D7645"/>
    <w:rsid w:val="00B12D8D"/>
    <w:rsid w:val="00B70E5B"/>
    <w:rsid w:val="00CA73A1"/>
    <w:rsid w:val="00F7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E5B"/>
    <w:pPr>
      <w:ind w:left="720"/>
      <w:contextualSpacing/>
    </w:pPr>
  </w:style>
  <w:style w:type="table" w:styleId="TableGrid">
    <w:name w:val="Table Grid"/>
    <w:basedOn w:val="TableNormal"/>
    <w:uiPriority w:val="59"/>
    <w:rsid w:val="00F71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6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9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E5B"/>
    <w:pPr>
      <w:ind w:left="720"/>
      <w:contextualSpacing/>
    </w:pPr>
  </w:style>
  <w:style w:type="table" w:styleId="TableGrid">
    <w:name w:val="Table Grid"/>
    <w:basedOn w:val="TableNormal"/>
    <w:uiPriority w:val="59"/>
    <w:rsid w:val="00F71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6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9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2AE7DBE7DFA94E86400B4EE48BAD96" ma:contentTypeVersion="1" ma:contentTypeDescription="Create a new document." ma:contentTypeScope="" ma:versionID="01fbc37a4b8733f769cd1fe88a4d5af1">
  <xsd:schema xmlns:xsd="http://www.w3.org/2001/XMLSchema" xmlns:xs="http://www.w3.org/2001/XMLSchema" xmlns:p="http://schemas.microsoft.com/office/2006/metadata/properties" xmlns:ns2="afacbe5e-a34a-4023-9954-c6e9578fe74b" targetNamespace="http://schemas.microsoft.com/office/2006/metadata/properties" ma:root="true" ma:fieldsID="b5bab49d8b05f50021cd9b53c810f5b6" ns2:_="">
    <xsd:import namespace="afacbe5e-a34a-4023-9954-c6e9578fe74b"/>
    <xsd:element name="properties">
      <xsd:complexType>
        <xsd:sequence>
          <xsd:element name="documentManagement">
            <xsd:complexType>
              <xsd:all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cbe5e-a34a-4023-9954-c6e9578fe74b" elementFormDefault="qualified">
    <xsd:import namespace="http://schemas.microsoft.com/office/2006/documentManagement/types"/>
    <xsd:import namespace="http://schemas.microsoft.com/office/infopath/2007/PartnerControls"/>
    <xsd:element name="Target_x0020_Audiences" ma:index="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rget_x0020_Audiences xmlns="afacbe5e-a34a-4023-9954-c6e9578fe74b" xsi:nil="true"/>
  </documentManagement>
</p:properties>
</file>

<file path=customXml/itemProps1.xml><?xml version="1.0" encoding="utf-8"?>
<ds:datastoreItem xmlns:ds="http://schemas.openxmlformats.org/officeDocument/2006/customXml" ds:itemID="{6B80596A-C9E0-4542-8FD0-E5D81BD218F2}"/>
</file>

<file path=customXml/itemProps2.xml><?xml version="1.0" encoding="utf-8"?>
<ds:datastoreItem xmlns:ds="http://schemas.openxmlformats.org/officeDocument/2006/customXml" ds:itemID="{F0E2A3B3-1635-4C07-B9A1-51D2137FC722}"/>
</file>

<file path=customXml/itemProps3.xml><?xml version="1.0" encoding="utf-8"?>
<ds:datastoreItem xmlns:ds="http://schemas.openxmlformats.org/officeDocument/2006/customXml" ds:itemID="{6560CFEB-E6DB-498E-BE9C-C5B2FE6D1E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HIDOE</Company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or Jane</dc:creator>
  <cp:keywords/>
  <dc:description/>
  <cp:lastModifiedBy>John or Jane</cp:lastModifiedBy>
  <cp:revision>3</cp:revision>
  <dcterms:created xsi:type="dcterms:W3CDTF">2014-07-01T23:44:00Z</dcterms:created>
  <dcterms:modified xsi:type="dcterms:W3CDTF">2014-07-03T01:41:00Z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0x010100FC2AE7DBE7DFA94E86400B4EE48BAD96</vt:lpwstr>
  </property>
</Properties>
</file>